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D9F" w:rsidRPr="00FF041D" w:rsidRDefault="00197D9F" w:rsidP="00C67133">
      <w:pPr>
        <w:pStyle w:val="Balk1"/>
        <w:ind w:left="0" w:firstLine="0"/>
      </w:pPr>
      <w:r w:rsidRPr="00FF041D">
        <w:rPr>
          <w:rFonts w:eastAsia="Symbol"/>
        </w:rPr>
        <w:t>TEZİN ENSTİTÜYE TESLİM EDİLME SÜRECİ</w:t>
      </w:r>
    </w:p>
    <w:p w:rsidR="00197D9F" w:rsidRDefault="00197D9F" w:rsidP="00197D9F">
      <w:pPr>
        <w:ind w:left="0" w:firstLine="0"/>
        <w:rPr>
          <w:rFonts w:eastAsia="Symbol"/>
        </w:rPr>
      </w:pPr>
      <w:r>
        <w:rPr>
          <w:rFonts w:eastAsia="Symbol"/>
        </w:rPr>
        <w:t>Tezin teslim aşamasında, sonradan doğabilecek sorunların engellenebilmesi için öğrencilerin tezlerini ciltletmeden önce Sakarya Üniversitesi Ortadoğu Enstitüsü’ne gelerek tezlerin biçimsel kurallara uygunluğunu kontrol ettirmeleri gerekmektedir.</w:t>
      </w:r>
    </w:p>
    <w:p w:rsidR="00197D9F" w:rsidRPr="00FF041D" w:rsidRDefault="00197D9F" w:rsidP="00197D9F">
      <w:pPr>
        <w:pStyle w:val="BALIK2"/>
        <w:ind w:firstLine="0"/>
        <w:rPr>
          <w:sz w:val="24"/>
        </w:rPr>
      </w:pPr>
      <w:r w:rsidRPr="00FF041D">
        <w:rPr>
          <w:rFonts w:eastAsia="Symbol"/>
          <w:sz w:val="24"/>
        </w:rPr>
        <w:t>T</w:t>
      </w:r>
      <w:r>
        <w:rPr>
          <w:rFonts w:eastAsia="Symbol"/>
          <w:sz w:val="24"/>
        </w:rPr>
        <w:t xml:space="preserve">ez Savunma Sınavı Öncesi </w:t>
      </w:r>
    </w:p>
    <w:p w:rsidR="00197D9F" w:rsidRDefault="00197D9F" w:rsidP="007137B5">
      <w:pPr>
        <w:pStyle w:val="ListeParagraf"/>
        <w:widowControl/>
        <w:spacing w:before="0" w:after="160"/>
        <w:ind w:left="0" w:right="0" w:firstLine="0"/>
        <w:contextualSpacing/>
        <w:rPr>
          <w:color w:val="000000"/>
        </w:rPr>
      </w:pPr>
      <w:r w:rsidRPr="00CC4E52">
        <w:rPr>
          <w:color w:val="000000"/>
        </w:rPr>
        <w:t xml:space="preserve">Ortadoğu Enstitüsüne tez teslim edebilmek için; tezin </w:t>
      </w:r>
      <w:r w:rsidR="007137B5">
        <w:rPr>
          <w:color w:val="000000"/>
        </w:rPr>
        <w:t>danışman</w:t>
      </w:r>
      <w:bookmarkStart w:id="0" w:name="_GoBack"/>
      <w:bookmarkEnd w:id="0"/>
      <w:r w:rsidRPr="00CC4E52">
        <w:rPr>
          <w:color w:val="000000"/>
        </w:rPr>
        <w:t xml:space="preserve"> tarafından </w:t>
      </w:r>
      <w:hyperlink r:id="rId7" w:history="1">
        <w:r w:rsidRPr="00CC4E52">
          <w:rPr>
            <w:rStyle w:val="Kpr"/>
          </w:rPr>
          <w:t>ortadogutezler@sakarya.edu.tr</w:t>
        </w:r>
      </w:hyperlink>
      <w:r w:rsidRPr="00CC4E52">
        <w:rPr>
          <w:color w:val="FF0000"/>
          <w:shd w:val="clear" w:color="auto" w:fill="FFFFFF"/>
        </w:rPr>
        <w:t> </w:t>
      </w:r>
      <w:r w:rsidRPr="00CC4E52">
        <w:rPr>
          <w:color w:val="000000"/>
          <w:shd w:val="clear" w:color="auto" w:fill="FFFFFF"/>
        </w:rPr>
        <w:t xml:space="preserve"> </w:t>
      </w:r>
      <w:r w:rsidRPr="00CC4E52">
        <w:rPr>
          <w:color w:val="000000"/>
        </w:rPr>
        <w:t>adresine Word dosyası</w:t>
      </w:r>
      <w:r>
        <w:rPr>
          <w:color w:val="000000"/>
        </w:rPr>
        <w:t xml:space="preserve"> halinde gönderilmesi gerekir.  </w:t>
      </w:r>
      <w:r w:rsidRPr="00CC4E52">
        <w:rPr>
          <w:color w:val="000000"/>
        </w:rPr>
        <w:t xml:space="preserve">Enstitü tarafından yapılan tarama sonrası </w:t>
      </w:r>
      <w:r>
        <w:rPr>
          <w:color w:val="000000"/>
        </w:rPr>
        <w:t>“</w:t>
      </w:r>
      <w:r w:rsidRPr="00CC4E52">
        <w:rPr>
          <w:color w:val="000000"/>
        </w:rPr>
        <w:t>Benzerlik Raporu</w:t>
      </w:r>
      <w:r>
        <w:rPr>
          <w:color w:val="000000"/>
        </w:rPr>
        <w:t>”</w:t>
      </w:r>
      <w:r w:rsidRPr="00CC4E52">
        <w:rPr>
          <w:color w:val="000000"/>
        </w:rPr>
        <w:t xml:space="preserve"> Enstitü tarafından danışman öğretim üyesine gönderilir.</w:t>
      </w:r>
      <w:r>
        <w:rPr>
          <w:color w:val="000000"/>
        </w:rPr>
        <w:t xml:space="preserve"> D</w:t>
      </w:r>
      <w:r w:rsidRPr="00CC4E52">
        <w:rPr>
          <w:color w:val="000000"/>
        </w:rPr>
        <w:t xml:space="preserve">anışman öğretim üyesi benzerlik oranını değerlendirdikten sonra tezin savunulabilir olduğuna karar vermesi durumunda </w:t>
      </w:r>
      <w:hyperlink r:id="rId8" w:history="1">
        <w:r w:rsidRPr="00CC4E52">
          <w:rPr>
            <w:rStyle w:val="Kpr"/>
          </w:rPr>
          <w:t>http://kys.sakarya.edu.tr/tr/Dokuman/Indir?TanimAdi=tez_savunma_jurisi_benzerlik_beyan_formu</w:t>
        </w:r>
      </w:hyperlink>
      <w:r w:rsidRPr="00CC4E52">
        <w:rPr>
          <w:color w:val="000000"/>
        </w:rPr>
        <w:t xml:space="preserve"> linkindeki form doldurularak tez teslim işlemini başlatır.</w:t>
      </w:r>
      <w:r>
        <w:rPr>
          <w:color w:val="000000"/>
        </w:rPr>
        <w:t xml:space="preserve"> </w:t>
      </w:r>
      <w:r w:rsidRPr="00CC4E52">
        <w:rPr>
          <w:color w:val="000000"/>
        </w:rPr>
        <w:t xml:space="preserve">Benzerlik oranına göre danışman öğretim üyesinin düzeltme istemesi durumunda </w:t>
      </w:r>
      <w:r>
        <w:rPr>
          <w:color w:val="000000"/>
        </w:rPr>
        <w:t>ö</w:t>
      </w:r>
      <w:r w:rsidRPr="00CC4E52">
        <w:rPr>
          <w:color w:val="000000"/>
        </w:rPr>
        <w:t xml:space="preserve">ğrenci tezde düzeltmeleri yaparak tezi tekrar Word dosyası olarak </w:t>
      </w:r>
      <w:hyperlink r:id="rId9" w:history="1">
        <w:r w:rsidRPr="00CC4E52">
          <w:rPr>
            <w:rStyle w:val="Kpr"/>
          </w:rPr>
          <w:t>ortadogutezler@sakarya.edu.tr</w:t>
        </w:r>
      </w:hyperlink>
      <w:r w:rsidRPr="00CC4E52">
        <w:rPr>
          <w:color w:val="FF0000"/>
          <w:shd w:val="clear" w:color="auto" w:fill="FFFFFF"/>
        </w:rPr>
        <w:t xml:space="preserve">  </w:t>
      </w:r>
      <w:r w:rsidRPr="00CC4E52">
        <w:rPr>
          <w:color w:val="000000"/>
        </w:rPr>
        <w:t xml:space="preserve">adresine gönderir. Enstitü tarama işlemini yaparak öğretim üyesine tekrar </w:t>
      </w:r>
      <w:r>
        <w:rPr>
          <w:color w:val="000000"/>
        </w:rPr>
        <w:t>“</w:t>
      </w:r>
      <w:r w:rsidRPr="00CC4E52">
        <w:rPr>
          <w:color w:val="000000"/>
        </w:rPr>
        <w:t>Benzerlik Raporunu</w:t>
      </w:r>
      <w:r>
        <w:rPr>
          <w:color w:val="000000"/>
        </w:rPr>
        <w:t>”</w:t>
      </w:r>
      <w:r w:rsidRPr="00CC4E52">
        <w:rPr>
          <w:color w:val="000000"/>
        </w:rPr>
        <w:t xml:space="preserve"> gönderir. Benzerlik</w:t>
      </w:r>
      <w:r>
        <w:rPr>
          <w:color w:val="000000"/>
        </w:rPr>
        <w:t xml:space="preserve"> raporu danışman öğretim ü</w:t>
      </w:r>
      <w:r w:rsidRPr="00CC4E52">
        <w:rPr>
          <w:color w:val="000000"/>
        </w:rPr>
        <w:t>yesi tarafından onaylanması durumunda öğrenci tez teslim işlemlerini başlatır.</w:t>
      </w:r>
      <w:r>
        <w:rPr>
          <w:color w:val="000000"/>
        </w:rPr>
        <w:t xml:space="preserve"> Tüm işlemler t</w:t>
      </w:r>
      <w:r w:rsidRPr="00CC4E52">
        <w:rPr>
          <w:color w:val="000000"/>
        </w:rPr>
        <w:t>amaml</w:t>
      </w:r>
      <w:r>
        <w:rPr>
          <w:color w:val="000000"/>
        </w:rPr>
        <w:t>andıktan s</w:t>
      </w:r>
      <w:r w:rsidRPr="00CC4E52">
        <w:rPr>
          <w:color w:val="000000"/>
        </w:rPr>
        <w:t xml:space="preserve">onra </w:t>
      </w:r>
      <w:r>
        <w:rPr>
          <w:color w:val="000000"/>
        </w:rPr>
        <w:t>öğrenci tezini e</w:t>
      </w:r>
      <w:r w:rsidRPr="00CC4E52">
        <w:rPr>
          <w:color w:val="000000"/>
        </w:rPr>
        <w:t>nstitüye;</w:t>
      </w:r>
    </w:p>
    <w:p w:rsidR="00197D9F" w:rsidRPr="00CC4E52" w:rsidRDefault="00197D9F" w:rsidP="00197D9F">
      <w:pPr>
        <w:pStyle w:val="ListeParagraf"/>
        <w:widowControl/>
        <w:spacing w:before="0" w:after="160" w:line="259" w:lineRule="auto"/>
        <w:ind w:left="0" w:right="0" w:firstLine="0"/>
        <w:contextualSpacing/>
        <w:rPr>
          <w:color w:val="000000"/>
        </w:rPr>
      </w:pPr>
    </w:p>
    <w:p w:rsidR="00197D9F" w:rsidRPr="00CC4E52" w:rsidRDefault="00197D9F" w:rsidP="00197D9F">
      <w:pPr>
        <w:pStyle w:val="ListeParagraf"/>
        <w:ind w:left="709"/>
        <w:rPr>
          <w:color w:val="000000"/>
        </w:rPr>
      </w:pPr>
      <w:r w:rsidRPr="00CC4E52">
        <w:rPr>
          <w:color w:val="000000"/>
        </w:rPr>
        <w:t>-</w:t>
      </w:r>
      <w:r>
        <w:rPr>
          <w:color w:val="000000"/>
        </w:rPr>
        <w:t xml:space="preserve"> </w:t>
      </w:r>
      <w:r w:rsidRPr="00CC4E52">
        <w:rPr>
          <w:color w:val="000000"/>
        </w:rPr>
        <w:t>1 Adet Spiral Ciltli İntihal Programından Çıkmış Haldeki Tez,</w:t>
      </w:r>
    </w:p>
    <w:p w:rsidR="00197D9F" w:rsidRPr="00CC4E52" w:rsidRDefault="00197D9F" w:rsidP="00197D9F">
      <w:pPr>
        <w:pStyle w:val="ListeParagraf"/>
        <w:ind w:left="709"/>
        <w:rPr>
          <w:color w:val="000000"/>
        </w:rPr>
      </w:pPr>
      <w:r w:rsidRPr="00CC4E52">
        <w:rPr>
          <w:color w:val="000000"/>
        </w:rPr>
        <w:t>-</w:t>
      </w:r>
      <w:r>
        <w:rPr>
          <w:color w:val="000000"/>
        </w:rPr>
        <w:t xml:space="preserve"> </w:t>
      </w:r>
      <w:r w:rsidRPr="00CC4E52">
        <w:rPr>
          <w:color w:val="000000"/>
        </w:rPr>
        <w:t>Tez Savunulabilirlik ve Orijinallik Beyan Formu,</w:t>
      </w:r>
    </w:p>
    <w:p w:rsidR="00197D9F" w:rsidRPr="00CC4E52" w:rsidRDefault="00197D9F" w:rsidP="00197D9F">
      <w:pPr>
        <w:pStyle w:val="ListeParagraf"/>
        <w:ind w:left="709"/>
        <w:rPr>
          <w:color w:val="000000"/>
        </w:rPr>
      </w:pPr>
      <w:r w:rsidRPr="00CC4E52">
        <w:rPr>
          <w:color w:val="000000"/>
        </w:rPr>
        <w:t>-</w:t>
      </w:r>
      <w:r>
        <w:rPr>
          <w:color w:val="000000"/>
        </w:rPr>
        <w:t xml:space="preserve"> </w:t>
      </w:r>
      <w:r w:rsidRPr="00CC4E52">
        <w:rPr>
          <w:color w:val="000000"/>
        </w:rPr>
        <w:t>Tez Teslim Formu (Jüri Önerisi),</w:t>
      </w:r>
    </w:p>
    <w:p w:rsidR="00197D9F" w:rsidRDefault="00197D9F" w:rsidP="003451E0">
      <w:pPr>
        <w:pStyle w:val="ListeParagraf"/>
        <w:spacing w:line="240" w:lineRule="auto"/>
        <w:ind w:left="567" w:hanging="218"/>
        <w:rPr>
          <w:color w:val="000000"/>
        </w:rPr>
      </w:pPr>
      <w:r w:rsidRPr="00CC4E52">
        <w:rPr>
          <w:color w:val="000000"/>
        </w:rPr>
        <w:t>-</w:t>
      </w:r>
      <w:r>
        <w:rPr>
          <w:color w:val="000000"/>
        </w:rPr>
        <w:t xml:space="preserve"> </w:t>
      </w:r>
      <w:r w:rsidRPr="0049605B">
        <w:rPr>
          <w:color w:val="000000"/>
        </w:rPr>
        <w:t xml:space="preserve">Yayın </w:t>
      </w:r>
      <w:r w:rsidRPr="00620B64">
        <w:rPr>
          <w:color w:val="000000"/>
          <w:sz w:val="22"/>
          <w:szCs w:val="22"/>
        </w:rPr>
        <w:t>(</w:t>
      </w:r>
      <w:r w:rsidRPr="00620B64">
        <w:rPr>
          <w:b/>
          <w:bCs/>
          <w:color w:val="000000"/>
          <w:sz w:val="22"/>
          <w:szCs w:val="22"/>
          <w:u w:val="single"/>
        </w:rPr>
        <w:t>Yüksek lisans için</w:t>
      </w:r>
      <w:r w:rsidRPr="00620B64">
        <w:rPr>
          <w:color w:val="000000"/>
          <w:sz w:val="22"/>
          <w:szCs w:val="22"/>
        </w:rPr>
        <w:t xml:space="preserve">; </w:t>
      </w:r>
      <w:r w:rsidRPr="00620B64">
        <w:rPr>
          <w:sz w:val="22"/>
          <w:szCs w:val="22"/>
        </w:rPr>
        <w:t>ilgili Anabilim Dalında en az bir makale ve/veya tam makale formatında bildiri (kongre, konferans, sempozyum) yayımlanması ya da DOI (Dijital Object Identifier) numarası alınmış olma şartı</w:t>
      </w:r>
      <w:r w:rsidRPr="00620B64">
        <w:rPr>
          <w:color w:val="000000"/>
          <w:sz w:val="22"/>
          <w:szCs w:val="22"/>
        </w:rPr>
        <w:t>), (</w:t>
      </w:r>
      <w:r w:rsidRPr="00620B64">
        <w:rPr>
          <w:b/>
          <w:bCs/>
          <w:color w:val="000000"/>
          <w:sz w:val="22"/>
          <w:szCs w:val="22"/>
          <w:u w:val="single"/>
        </w:rPr>
        <w:t>Doktora için</w:t>
      </w:r>
      <w:r w:rsidRPr="00620B64">
        <w:rPr>
          <w:color w:val="000000"/>
          <w:sz w:val="22"/>
          <w:szCs w:val="22"/>
        </w:rPr>
        <w:t xml:space="preserve">; </w:t>
      </w:r>
      <w:r w:rsidRPr="00620B64">
        <w:rPr>
          <w:sz w:val="22"/>
          <w:szCs w:val="22"/>
        </w:rPr>
        <w:t>Ortadoğu Enstitülerinde alanında en az 1 tane indeksli (SCI, SCI-Expanded, SSCI, AHCI, ESCI) yayın veya kabul edilmiş en az bir dış kaynaklı projede görev almış olmak)</w:t>
      </w:r>
      <w:r w:rsidRPr="0049605B">
        <w:t xml:space="preserve"> </w:t>
      </w:r>
      <w:r w:rsidRPr="0049605B">
        <w:rPr>
          <w:color w:val="000000"/>
        </w:rPr>
        <w:t>teslim eder</w:t>
      </w:r>
      <w:r w:rsidRPr="00CC4E52">
        <w:rPr>
          <w:color w:val="000000"/>
        </w:rPr>
        <w:t>.</w:t>
      </w:r>
    </w:p>
    <w:p w:rsidR="00197D9F" w:rsidRPr="00CC4E52" w:rsidRDefault="00197D9F" w:rsidP="00197D9F">
      <w:pPr>
        <w:pStyle w:val="ListeParagraf"/>
        <w:spacing w:line="240" w:lineRule="auto"/>
        <w:ind w:left="709"/>
        <w:rPr>
          <w:color w:val="000000"/>
        </w:rPr>
      </w:pPr>
    </w:p>
    <w:p w:rsidR="00197D9F" w:rsidRPr="00CC4E52" w:rsidRDefault="00197D9F" w:rsidP="00197D9F">
      <w:pPr>
        <w:ind w:left="0" w:firstLine="0"/>
        <w:rPr>
          <w:color w:val="000000"/>
        </w:rPr>
      </w:pPr>
      <w:r w:rsidRPr="00E12109">
        <w:rPr>
          <w:b/>
          <w:bCs/>
          <w:color w:val="FF0000"/>
        </w:rPr>
        <w:t>Not 1:</w:t>
      </w:r>
      <w:r w:rsidRPr="00CC4E52">
        <w:rPr>
          <w:color w:val="FF0000"/>
        </w:rPr>
        <w:t xml:space="preserve"> </w:t>
      </w:r>
      <w:r w:rsidRPr="00F2793E">
        <w:rPr>
          <w:b/>
          <w:bCs/>
          <w:color w:val="000000"/>
        </w:rPr>
        <w:t>Enstitü Yönetim Kurulunca kabul edilen ve öğrenci otomasyonunda kayıtlı olan tez adının, teslim edilecek tez adı ile aynı olması gerekmektedir. Tez adındaki değişiklikler savunma sınavında yapılabilmektedir.</w:t>
      </w:r>
    </w:p>
    <w:p w:rsidR="00197D9F" w:rsidRDefault="00197D9F" w:rsidP="00093CA0">
      <w:pPr>
        <w:ind w:left="0" w:firstLine="0"/>
        <w:rPr>
          <w:b/>
          <w:bCs/>
          <w:color w:val="000000"/>
        </w:rPr>
      </w:pPr>
      <w:r w:rsidRPr="00E12109">
        <w:rPr>
          <w:b/>
          <w:bCs/>
          <w:color w:val="FF0000"/>
        </w:rPr>
        <w:t>Not 2:</w:t>
      </w:r>
      <w:r w:rsidRPr="00CC4E52">
        <w:rPr>
          <w:color w:val="FF0000"/>
        </w:rPr>
        <w:t xml:space="preserve"> </w:t>
      </w:r>
      <w:r w:rsidRPr="00F2793E">
        <w:rPr>
          <w:b/>
          <w:bCs/>
          <w:color w:val="000000"/>
        </w:rPr>
        <w:t xml:space="preserve">Tezlerde benzerlik oranı </w:t>
      </w:r>
      <w:r w:rsidR="00093CA0">
        <w:rPr>
          <w:b/>
          <w:bCs/>
          <w:color w:val="000000"/>
          <w:u w:val="single"/>
        </w:rPr>
        <w:t>%20 ve üzeri</w:t>
      </w:r>
      <w:r w:rsidRPr="00F2793E">
        <w:rPr>
          <w:b/>
          <w:bCs/>
          <w:color w:val="000000"/>
        </w:rPr>
        <w:t xml:space="preserve"> olması durumunda; danışman öğretim üyesi tezin savunulabilir olduğunu düşünüyorsa Enstitü Anabilim Dalı Başkanlığının da uygun görüşünü alarak bir rapor hazırlar. </w:t>
      </w:r>
      <w:r w:rsidRPr="00F2793E">
        <w:rPr>
          <w:b/>
          <w:bCs/>
          <w:color w:val="000000"/>
          <w:u w:val="single"/>
        </w:rPr>
        <w:t>%20’den</w:t>
      </w:r>
      <w:r w:rsidRPr="00F2793E">
        <w:rPr>
          <w:b/>
          <w:bCs/>
          <w:color w:val="000000"/>
        </w:rPr>
        <w:t xml:space="preserve"> az olan benzerlik oranları da yine danışman öğretim üyesi tarafından incelenerek savunulabilirliğine karar verilir.</w:t>
      </w:r>
    </w:p>
    <w:p w:rsidR="00197D9F" w:rsidRPr="00D760D5" w:rsidRDefault="00197D9F" w:rsidP="00197D9F">
      <w:pPr>
        <w:ind w:left="0" w:firstLine="0"/>
        <w:rPr>
          <w:b/>
          <w:bCs/>
        </w:rPr>
      </w:pPr>
      <w:r w:rsidRPr="00D760D5">
        <w:rPr>
          <w:b/>
          <w:bCs/>
          <w:color w:val="FF0000"/>
        </w:rPr>
        <w:lastRenderedPageBreak/>
        <w:t xml:space="preserve">Not 3: </w:t>
      </w:r>
      <w:r w:rsidRPr="003A5D6F">
        <w:rPr>
          <w:b/>
          <w:bCs/>
        </w:rPr>
        <w:t xml:space="preserve">EYK tarafından </w:t>
      </w:r>
      <w:r>
        <w:rPr>
          <w:b/>
          <w:bCs/>
        </w:rPr>
        <w:t>öğrencinin tez savunma sınavı için, t</w:t>
      </w:r>
      <w:r w:rsidRPr="003A5D6F">
        <w:rPr>
          <w:b/>
          <w:bCs/>
        </w:rPr>
        <w:t>ez teslim formunda önerilen jüri</w:t>
      </w:r>
      <w:r>
        <w:rPr>
          <w:b/>
          <w:bCs/>
        </w:rPr>
        <w:t xml:space="preserve"> üyeleri içerisinde sıralamaya bakılmaksızın tez savunma sınavı jürisi </w:t>
      </w:r>
      <w:r w:rsidRPr="003A5D6F">
        <w:rPr>
          <w:b/>
          <w:bCs/>
        </w:rPr>
        <w:t>o</w:t>
      </w:r>
      <w:r>
        <w:rPr>
          <w:b/>
          <w:bCs/>
        </w:rPr>
        <w:t xml:space="preserve">luşturulur. EYK tarafından oluşturulan jüri üyeleri </w:t>
      </w:r>
      <w:r w:rsidRPr="003A5D6F">
        <w:rPr>
          <w:b/>
          <w:bCs/>
        </w:rPr>
        <w:t>söz konusu tezin kendilerine teslim edildiği tarih itibariyle 7 günden erken olmamak üzere en geç 30 gün içerisinde tez savu</w:t>
      </w:r>
      <w:r>
        <w:rPr>
          <w:b/>
          <w:bCs/>
        </w:rPr>
        <w:t>nma sınavı gerçekleştirir.</w:t>
      </w:r>
    </w:p>
    <w:p w:rsidR="00197D9F" w:rsidRPr="00FF041D" w:rsidRDefault="00197D9F" w:rsidP="00197D9F">
      <w:pPr>
        <w:pStyle w:val="BALIK2"/>
        <w:ind w:firstLine="0"/>
        <w:rPr>
          <w:sz w:val="24"/>
        </w:rPr>
      </w:pPr>
      <w:r w:rsidRPr="00FF041D">
        <w:rPr>
          <w:rFonts w:eastAsia="Symbol"/>
          <w:sz w:val="24"/>
        </w:rPr>
        <w:t>T</w:t>
      </w:r>
      <w:r>
        <w:rPr>
          <w:rFonts w:eastAsia="Symbol"/>
          <w:sz w:val="24"/>
        </w:rPr>
        <w:t>ez Savunma Sınavı Sonrası</w:t>
      </w:r>
    </w:p>
    <w:p w:rsidR="00197D9F" w:rsidRDefault="00197D9F" w:rsidP="003335AE">
      <w:pPr>
        <w:autoSpaceDE w:val="0"/>
        <w:ind w:left="0" w:firstLine="0"/>
      </w:pPr>
      <w:r>
        <w:t xml:space="preserve">Ortadoğu Enstitüsü tez yazım kılavuzuna göre hazırlanan yüksek lisans tezleri mavi, doktora tezleri siyah olarak ciltlettirilir. Tezlerin sırt kısmına; “Ay - YIL, Tezin adı, Ad SOYAD” yazdırılarak </w:t>
      </w:r>
      <w:r w:rsidR="003335AE">
        <w:rPr>
          <w:b/>
        </w:rPr>
        <w:t>2</w:t>
      </w:r>
      <w:r w:rsidRPr="0082436F">
        <w:rPr>
          <w:b/>
        </w:rPr>
        <w:t xml:space="preserve"> ADET</w:t>
      </w:r>
      <w:r>
        <w:t xml:space="preserve"> bastırılır.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3669"/>
      </w:tblGrid>
      <w:tr w:rsidR="00197D9F" w:rsidTr="00772EEE">
        <w:trPr>
          <w:trHeight w:val="40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9F" w:rsidRDefault="00197D9F" w:rsidP="00772EEE">
            <w:pPr>
              <w:autoSpaceDE w:val="0"/>
              <w:ind w:firstLine="0"/>
              <w:jc w:val="center"/>
            </w:pPr>
            <w:r>
              <w:rPr>
                <w:b/>
              </w:rPr>
              <w:t>AY - YIL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9F" w:rsidRDefault="00197D9F" w:rsidP="00772EEE">
            <w:pPr>
              <w:autoSpaceDE w:val="0"/>
              <w:ind w:firstLine="0"/>
              <w:jc w:val="center"/>
            </w:pPr>
            <w:r>
              <w:rPr>
                <w:b/>
              </w:rPr>
              <w:t>TEZİN ADI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9F" w:rsidRDefault="00197D9F" w:rsidP="00772EEE">
            <w:pPr>
              <w:autoSpaceDE w:val="0"/>
              <w:ind w:firstLine="0"/>
              <w:jc w:val="center"/>
            </w:pPr>
            <w:r>
              <w:rPr>
                <w:b/>
              </w:rPr>
              <w:t>Ad SOYAD</w:t>
            </w:r>
          </w:p>
        </w:tc>
      </w:tr>
    </w:tbl>
    <w:p w:rsidR="00197D9F" w:rsidRDefault="00197D9F" w:rsidP="00197D9F">
      <w:pPr>
        <w:pStyle w:val="BALIK2"/>
        <w:ind w:firstLine="0"/>
        <w:rPr>
          <w:rFonts w:eastAsia="Symbol"/>
          <w:sz w:val="24"/>
        </w:rPr>
      </w:pPr>
      <w:bookmarkStart w:id="1" w:name="_Toc505773980"/>
    </w:p>
    <w:p w:rsidR="00197D9F" w:rsidRPr="00FF041D" w:rsidRDefault="00197D9F" w:rsidP="00197D9F">
      <w:pPr>
        <w:pStyle w:val="BALIK2"/>
        <w:ind w:firstLine="0"/>
        <w:rPr>
          <w:sz w:val="24"/>
        </w:rPr>
      </w:pPr>
      <w:r w:rsidRPr="00FF041D">
        <w:rPr>
          <w:rFonts w:eastAsia="Symbol"/>
          <w:sz w:val="24"/>
        </w:rPr>
        <w:t>T</w:t>
      </w:r>
      <w:r>
        <w:rPr>
          <w:rFonts w:eastAsia="Symbol"/>
          <w:sz w:val="24"/>
        </w:rPr>
        <w:t>ezin Ulusal Tez Merkezine Kaydedilmesi</w:t>
      </w:r>
    </w:p>
    <w:p w:rsidR="00197D9F" w:rsidRDefault="00197D9F" w:rsidP="00197D9F">
      <w:pPr>
        <w:ind w:left="0" w:firstLine="0"/>
      </w:pPr>
      <w:r>
        <w:rPr>
          <w:rFonts w:eastAsia="Symbol"/>
        </w:rPr>
        <w:t xml:space="preserve">Hazırlanan tezler e-Devlet üzerinden Yükseköğretim Başkanlığı’nın </w:t>
      </w:r>
      <w:r w:rsidRPr="00471012">
        <w:rPr>
          <w:rFonts w:eastAsia="Symbol"/>
          <w:i/>
        </w:rPr>
        <w:t>Ulusal Tez Merkezi</w:t>
      </w:r>
      <w:r>
        <w:rPr>
          <w:rStyle w:val="DipnotKarakterleri"/>
          <w:rFonts w:eastAsia="Symbol"/>
        </w:rPr>
        <w:footnoteReference w:id="1"/>
      </w:r>
      <w:r>
        <w:rPr>
          <w:rFonts w:eastAsia="Symbol"/>
        </w:rPr>
        <w:t xml:space="preserve">  internet sayfasından </w:t>
      </w:r>
      <w:r w:rsidRPr="00185939">
        <w:rPr>
          <w:rFonts w:eastAsia="Symbol"/>
          <w:i/>
        </w:rPr>
        <w:t>Tez Veri Giriş Formuna</w:t>
      </w:r>
      <w:r>
        <w:rPr>
          <w:rFonts w:eastAsia="Symbol"/>
        </w:rPr>
        <w:t xml:space="preserve"> girilerek sisteme kaydedilir. Veri giriş formunun bir adet çıktısının alınarak imzalı bir şekilde enstitüye teslim edilmelidir.</w:t>
      </w:r>
    </w:p>
    <w:bookmarkEnd w:id="1"/>
    <w:p w:rsidR="00197D9F" w:rsidRPr="00FF041D" w:rsidRDefault="00197D9F" w:rsidP="00197D9F">
      <w:pPr>
        <w:pStyle w:val="BALIK2"/>
        <w:ind w:firstLine="0"/>
        <w:rPr>
          <w:sz w:val="24"/>
        </w:rPr>
      </w:pPr>
      <w:r w:rsidRPr="00FF041D">
        <w:rPr>
          <w:rFonts w:eastAsia="Symbol"/>
          <w:sz w:val="24"/>
        </w:rPr>
        <w:t>T</w:t>
      </w:r>
      <w:r>
        <w:rPr>
          <w:rFonts w:eastAsia="Symbol"/>
          <w:sz w:val="24"/>
        </w:rPr>
        <w:t>ezin CD’ye Kaydedilmesi</w:t>
      </w:r>
    </w:p>
    <w:p w:rsidR="00197D9F" w:rsidRDefault="00197D9F" w:rsidP="00DC2E0F">
      <w:pPr>
        <w:ind w:left="0" w:firstLine="0"/>
        <w:rPr>
          <w:rFonts w:eastAsia="Symbol"/>
        </w:rPr>
      </w:pPr>
      <w:r>
        <w:rPr>
          <w:rFonts w:eastAsia="Symbol"/>
        </w:rPr>
        <w:t xml:space="preserve">Tezin tamamı </w:t>
      </w:r>
      <w:proofErr w:type="spellStart"/>
      <w:r>
        <w:rPr>
          <w:rFonts w:eastAsia="Symbol"/>
        </w:rPr>
        <w:t>pdf</w:t>
      </w:r>
      <w:proofErr w:type="spellEnd"/>
      <w:r>
        <w:rPr>
          <w:rFonts w:eastAsia="Symbol"/>
        </w:rPr>
        <w:t xml:space="preserve"> formatında kaydedilmiş olarak, </w:t>
      </w:r>
      <w:r w:rsidR="00DC2E0F">
        <w:rPr>
          <w:rFonts w:eastAsia="Symbol"/>
          <w:b/>
        </w:rPr>
        <w:t>2</w:t>
      </w:r>
      <w:r>
        <w:rPr>
          <w:rFonts w:eastAsia="Symbol"/>
          <w:b/>
        </w:rPr>
        <w:t xml:space="preserve"> CD</w:t>
      </w:r>
      <w:r>
        <w:rPr>
          <w:rFonts w:ascii="TimesNewRomanPS-BoldMT" w:eastAsia="Symbol" w:hAnsi="TimesNewRomanPS-BoldMT" w:cs="TimesNewRomanPS-BoldMT"/>
          <w:b/>
          <w:bCs/>
        </w:rPr>
        <w:t xml:space="preserve"> </w:t>
      </w:r>
      <w:r>
        <w:rPr>
          <w:rFonts w:eastAsia="Symbol"/>
        </w:rPr>
        <w:t>içinde enstitüye teslim edilmelidir. CD’nin adı tez veri giriş formunda yazılı olan referans numarası olmalıdır.</w:t>
      </w:r>
    </w:p>
    <w:p w:rsidR="00197D9F" w:rsidRDefault="00197D9F" w:rsidP="00067CF9">
      <w:pPr>
        <w:pStyle w:val="Balk1"/>
        <w:ind w:left="0" w:firstLine="0"/>
        <w:jc w:val="both"/>
        <w:rPr>
          <w:rFonts w:eastAsia="Symbol"/>
          <w:sz w:val="22"/>
          <w:szCs w:val="22"/>
        </w:rPr>
      </w:pPr>
      <w:r w:rsidRPr="00745EAE">
        <w:rPr>
          <w:rFonts w:eastAsia="Symbol"/>
          <w:color w:val="FF0000"/>
          <w:sz w:val="24"/>
          <w:szCs w:val="24"/>
        </w:rPr>
        <w:t xml:space="preserve">Not </w:t>
      </w:r>
      <w:r>
        <w:rPr>
          <w:rFonts w:eastAsia="Symbol"/>
          <w:color w:val="FF0000"/>
          <w:sz w:val="24"/>
          <w:szCs w:val="24"/>
        </w:rPr>
        <w:t>4</w:t>
      </w:r>
      <w:r w:rsidRPr="00745EAE">
        <w:rPr>
          <w:rFonts w:eastAsia="Symbol"/>
          <w:color w:val="FF0000"/>
          <w:sz w:val="24"/>
          <w:szCs w:val="24"/>
        </w:rPr>
        <w:t>:</w:t>
      </w:r>
      <w:r w:rsidRPr="002B08F2">
        <w:rPr>
          <w:rFonts w:eastAsia="Symbol"/>
          <w:sz w:val="24"/>
          <w:szCs w:val="24"/>
        </w:rPr>
        <w:t xml:space="preserve"> Tez savunmasına giren öğrenci tez savunmasından sonra en geç bir ay içerisinde </w:t>
      </w:r>
      <w:r w:rsidR="00067CF9">
        <w:rPr>
          <w:rFonts w:eastAsia="Symbol"/>
          <w:sz w:val="24"/>
          <w:szCs w:val="24"/>
        </w:rPr>
        <w:t>2</w:t>
      </w:r>
      <w:r w:rsidRPr="002B08F2">
        <w:rPr>
          <w:rFonts w:eastAsia="Symbol"/>
          <w:sz w:val="24"/>
          <w:szCs w:val="24"/>
        </w:rPr>
        <w:t xml:space="preserve"> Adet Ciltli Tezi, </w:t>
      </w:r>
      <w:r w:rsidR="00067CF9">
        <w:rPr>
          <w:rFonts w:eastAsia="Symbol"/>
          <w:sz w:val="24"/>
          <w:szCs w:val="24"/>
        </w:rPr>
        <w:t>2</w:t>
      </w:r>
      <w:r w:rsidRPr="002B08F2">
        <w:rPr>
          <w:rFonts w:eastAsia="Symbol"/>
          <w:sz w:val="24"/>
          <w:szCs w:val="24"/>
        </w:rPr>
        <w:t xml:space="preserve"> Adet CD’yi, 1 Adet Tez Veri Giriş Formunu Ortadoğu Enstitüsü’ne teslim etmelidir</w:t>
      </w:r>
      <w:r w:rsidRPr="00701DF0">
        <w:rPr>
          <w:rFonts w:eastAsia="Symbol"/>
          <w:sz w:val="22"/>
          <w:szCs w:val="22"/>
        </w:rPr>
        <w:t>.</w:t>
      </w:r>
    </w:p>
    <w:p w:rsidR="00EE2233" w:rsidRDefault="00EE2233"/>
    <w:sectPr w:rsidR="00EE2233" w:rsidSect="00197D9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249" w:rsidRDefault="008A1249" w:rsidP="00197D9F">
      <w:pPr>
        <w:spacing w:before="0" w:after="0" w:line="240" w:lineRule="auto"/>
      </w:pPr>
      <w:r>
        <w:separator/>
      </w:r>
    </w:p>
  </w:endnote>
  <w:endnote w:type="continuationSeparator" w:id="0">
    <w:p w:rsidR="008A1249" w:rsidRDefault="008A1249" w:rsidP="00197D9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A2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249" w:rsidRDefault="008A1249" w:rsidP="00197D9F">
      <w:pPr>
        <w:spacing w:before="0" w:after="0" w:line="240" w:lineRule="auto"/>
      </w:pPr>
      <w:r>
        <w:separator/>
      </w:r>
    </w:p>
  </w:footnote>
  <w:footnote w:type="continuationSeparator" w:id="0">
    <w:p w:rsidR="008A1249" w:rsidRDefault="008A1249" w:rsidP="00197D9F">
      <w:pPr>
        <w:spacing w:before="0" w:after="0" w:line="240" w:lineRule="auto"/>
      </w:pPr>
      <w:r>
        <w:continuationSeparator/>
      </w:r>
    </w:p>
  </w:footnote>
  <w:footnote w:id="1">
    <w:p w:rsidR="00197D9F" w:rsidRDefault="00197D9F" w:rsidP="00197D9F">
      <w:pPr>
        <w:ind w:firstLine="567"/>
      </w:pPr>
      <w:r>
        <w:rPr>
          <w:rStyle w:val="DipnotKarakterleri"/>
        </w:rPr>
        <w:footnoteRef/>
      </w:r>
      <w:r>
        <w:t xml:space="preserve"> </w:t>
      </w:r>
      <w:hyperlink r:id="rId1" w:history="1">
        <w:r>
          <w:rPr>
            <w:rStyle w:val="Kpr"/>
          </w:rPr>
          <w:t>https://tez.yok.gov.tr/UlusalTezMerkezi/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D588E"/>
    <w:multiLevelType w:val="multilevel"/>
    <w:tmpl w:val="6FC2EB4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9F"/>
    <w:rsid w:val="00067CF9"/>
    <w:rsid w:val="00093CA0"/>
    <w:rsid w:val="00197D9F"/>
    <w:rsid w:val="003335AE"/>
    <w:rsid w:val="003451E0"/>
    <w:rsid w:val="00631A47"/>
    <w:rsid w:val="007137B5"/>
    <w:rsid w:val="008A1249"/>
    <w:rsid w:val="00B37AE4"/>
    <w:rsid w:val="00C67133"/>
    <w:rsid w:val="00DC2E0F"/>
    <w:rsid w:val="00E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FC025"/>
  <w15:chartTrackingRefBased/>
  <w15:docId w15:val="{2AF86FD3-401F-4286-ADCF-3CB1E25B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97D9F"/>
    <w:pPr>
      <w:widowControl w:val="0"/>
      <w:spacing w:before="120" w:after="120" w:line="360" w:lineRule="auto"/>
      <w:ind w:left="142" w:right="125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link w:val="Balk1Char"/>
    <w:uiPriority w:val="9"/>
    <w:qFormat/>
    <w:rsid w:val="00197D9F"/>
    <w:pPr>
      <w:spacing w:before="69"/>
      <w:ind w:left="116"/>
      <w:jc w:val="center"/>
      <w:outlineLvl w:val="0"/>
    </w:pPr>
    <w:rPr>
      <w:b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97D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97D9F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styleId="ListeParagraf">
    <w:name w:val="List Paragraph"/>
    <w:basedOn w:val="Normal"/>
    <w:uiPriority w:val="34"/>
    <w:qFormat/>
    <w:rsid w:val="00197D9F"/>
    <w:pPr>
      <w:ind w:left="116" w:hanging="360"/>
    </w:pPr>
  </w:style>
  <w:style w:type="character" w:styleId="Kpr">
    <w:name w:val="Hyperlink"/>
    <w:uiPriority w:val="99"/>
    <w:unhideWhenUsed/>
    <w:rsid w:val="00197D9F"/>
    <w:rPr>
      <w:color w:val="0563C1"/>
      <w:u w:val="single"/>
    </w:rPr>
  </w:style>
  <w:style w:type="character" w:customStyle="1" w:styleId="DipnotKarakterleri">
    <w:name w:val="Dipnot Karakterleri"/>
    <w:rsid w:val="00197D9F"/>
    <w:rPr>
      <w:vertAlign w:val="superscript"/>
    </w:rPr>
  </w:style>
  <w:style w:type="paragraph" w:customStyle="1" w:styleId="BALIK2">
    <w:name w:val="BAŞLIK 2"/>
    <w:basedOn w:val="Balk2"/>
    <w:next w:val="Balk2"/>
    <w:rsid w:val="00197D9F"/>
    <w:pPr>
      <w:keepLines w:val="0"/>
      <w:widowControl/>
      <w:suppressAutoHyphens/>
      <w:spacing w:before="0" w:after="120"/>
      <w:ind w:left="0" w:right="0" w:firstLine="720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  <w:lang w:eastAsia="zh-CN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97D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ys.sakarya.edu.tr/tr/Dokuman/Indir?TanimAdi=tez_savunma_jurisi_benzerlik_beyan_form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tadogutezler@sakarya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rtadogutezler@sakarya.edu.tr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ez.yok.gov.tr/UlusalTezMerkezi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Sakarya Üniversitesi</dc:creator>
  <cp:keywords/>
  <dc:description/>
  <cp:lastModifiedBy>Sakarya Üniversitesi</cp:lastModifiedBy>
  <cp:revision>7</cp:revision>
  <dcterms:created xsi:type="dcterms:W3CDTF">2018-06-19T13:21:00Z</dcterms:created>
  <dcterms:modified xsi:type="dcterms:W3CDTF">2019-05-13T11:47:00Z</dcterms:modified>
</cp:coreProperties>
</file>